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97" w:rsidRPr="003B0CCD" w:rsidRDefault="00DB2DBD" w:rsidP="007C6697">
      <w:pPr>
        <w:pStyle w:val="a3"/>
        <w:ind w:left="0"/>
        <w:jc w:val="center"/>
        <w:rPr>
          <w:b/>
          <w:sz w:val="22"/>
          <w:szCs w:val="22"/>
          <w:u w:val="single"/>
        </w:rPr>
      </w:pPr>
      <w:r w:rsidRPr="003B0CCD">
        <w:rPr>
          <w:b/>
          <w:sz w:val="22"/>
          <w:szCs w:val="22"/>
          <w:u w:val="single"/>
        </w:rPr>
        <w:t xml:space="preserve">К СВЕДЕНИЮ ОРГАНИЗАЦИЙ-ПЛАТЕЛЬЩИКОВ НАЛОГА </w:t>
      </w:r>
      <w:r w:rsidR="00727DA6" w:rsidRPr="003B0CCD">
        <w:rPr>
          <w:b/>
          <w:sz w:val="22"/>
          <w:szCs w:val="22"/>
          <w:u w:val="single"/>
        </w:rPr>
        <w:t xml:space="preserve">НА </w:t>
      </w:r>
      <w:r w:rsidRPr="003B0CCD">
        <w:rPr>
          <w:b/>
          <w:sz w:val="22"/>
          <w:szCs w:val="22"/>
          <w:u w:val="single"/>
        </w:rPr>
        <w:t>ПРИ</w:t>
      </w:r>
      <w:r w:rsidR="00727DA6" w:rsidRPr="003B0CCD">
        <w:rPr>
          <w:b/>
          <w:sz w:val="22"/>
          <w:szCs w:val="22"/>
          <w:u w:val="single"/>
        </w:rPr>
        <w:t>БЫЛЬ</w:t>
      </w:r>
      <w:r w:rsidRPr="003B0CCD">
        <w:rPr>
          <w:b/>
          <w:sz w:val="22"/>
          <w:szCs w:val="22"/>
          <w:u w:val="single"/>
        </w:rPr>
        <w:t xml:space="preserve"> </w:t>
      </w:r>
    </w:p>
    <w:p w:rsidR="007C6697" w:rsidRPr="003B0CCD" w:rsidRDefault="007C6697" w:rsidP="004C7E1D">
      <w:pPr>
        <w:pStyle w:val="a3"/>
        <w:ind w:left="0" w:firstLine="709"/>
        <w:jc w:val="center"/>
        <w:rPr>
          <w:sz w:val="22"/>
          <w:szCs w:val="22"/>
        </w:rPr>
      </w:pPr>
    </w:p>
    <w:p w:rsidR="007C6697" w:rsidRPr="003B0CCD" w:rsidRDefault="007C6697" w:rsidP="007C6697">
      <w:pPr>
        <w:pStyle w:val="a3"/>
        <w:ind w:left="0"/>
        <w:rPr>
          <w:b/>
          <w:sz w:val="22"/>
          <w:szCs w:val="22"/>
        </w:rPr>
      </w:pPr>
      <w:r w:rsidRPr="003B0CCD">
        <w:rPr>
          <w:b/>
          <w:sz w:val="22"/>
          <w:szCs w:val="22"/>
        </w:rPr>
        <w:t>Об о</w:t>
      </w:r>
      <w:r w:rsidR="004C7E1D" w:rsidRPr="003B0CCD">
        <w:rPr>
          <w:b/>
          <w:sz w:val="22"/>
          <w:szCs w:val="22"/>
        </w:rPr>
        <w:t>тражени</w:t>
      </w:r>
      <w:r w:rsidRPr="003B0CCD">
        <w:rPr>
          <w:b/>
          <w:sz w:val="22"/>
          <w:szCs w:val="22"/>
        </w:rPr>
        <w:t>и</w:t>
      </w:r>
      <w:r w:rsidR="004C7E1D" w:rsidRPr="003B0CCD">
        <w:rPr>
          <w:b/>
          <w:sz w:val="22"/>
          <w:szCs w:val="22"/>
        </w:rPr>
        <w:t xml:space="preserve"> в налоговой декларации (расчете) </w:t>
      </w:r>
    </w:p>
    <w:p w:rsidR="00107DF4" w:rsidRPr="003B0CCD" w:rsidRDefault="004C7E1D" w:rsidP="007C6697">
      <w:pPr>
        <w:pStyle w:val="a3"/>
        <w:ind w:left="0"/>
        <w:rPr>
          <w:b/>
          <w:sz w:val="22"/>
          <w:szCs w:val="22"/>
        </w:rPr>
      </w:pPr>
      <w:r w:rsidRPr="003B0CCD">
        <w:rPr>
          <w:b/>
          <w:sz w:val="22"/>
          <w:szCs w:val="22"/>
        </w:rPr>
        <w:t>сведений о фонде заработной платы</w:t>
      </w:r>
      <w:r w:rsidR="00582336" w:rsidRPr="003B0CCD">
        <w:rPr>
          <w:b/>
          <w:sz w:val="22"/>
          <w:szCs w:val="22"/>
        </w:rPr>
        <w:t>,</w:t>
      </w:r>
      <w:r w:rsidRPr="003B0CCD">
        <w:rPr>
          <w:b/>
          <w:sz w:val="22"/>
          <w:szCs w:val="22"/>
        </w:rPr>
        <w:t xml:space="preserve"> </w:t>
      </w:r>
    </w:p>
    <w:p w:rsidR="004C7E1D" w:rsidRPr="003B0CCD" w:rsidRDefault="004C7E1D" w:rsidP="007C6697">
      <w:pPr>
        <w:pStyle w:val="a3"/>
        <w:ind w:left="0"/>
        <w:rPr>
          <w:b/>
          <w:sz w:val="22"/>
          <w:szCs w:val="22"/>
        </w:rPr>
      </w:pPr>
      <w:r w:rsidRPr="003B0CCD">
        <w:rPr>
          <w:b/>
          <w:sz w:val="22"/>
          <w:szCs w:val="22"/>
        </w:rPr>
        <w:t>среднесписочной численности работников</w:t>
      </w:r>
      <w:r w:rsidR="00582336" w:rsidRPr="003B0CCD">
        <w:rPr>
          <w:b/>
          <w:sz w:val="22"/>
          <w:szCs w:val="22"/>
        </w:rPr>
        <w:t xml:space="preserve"> и</w:t>
      </w:r>
    </w:p>
    <w:p w:rsidR="00582336" w:rsidRPr="003B0CCD" w:rsidRDefault="00C81F7B" w:rsidP="007C6697">
      <w:pPr>
        <w:pStyle w:val="a3"/>
        <w:ind w:left="0"/>
        <w:rPr>
          <w:b/>
          <w:sz w:val="22"/>
          <w:szCs w:val="22"/>
        </w:rPr>
      </w:pPr>
      <w:r w:rsidRPr="003B0CCD">
        <w:rPr>
          <w:rFonts w:eastAsia="Calibri"/>
          <w:b/>
          <w:bCs/>
          <w:sz w:val="22"/>
          <w:szCs w:val="22"/>
          <w:lang w:eastAsia="en-US"/>
        </w:rPr>
        <w:t>суммах подоходного налога с физических лиц</w:t>
      </w:r>
    </w:p>
    <w:p w:rsidR="004C7E1D" w:rsidRPr="003B0CCD" w:rsidRDefault="004C7E1D" w:rsidP="004C7E1D">
      <w:pPr>
        <w:pStyle w:val="a3"/>
        <w:ind w:left="0" w:firstLine="709"/>
        <w:jc w:val="both"/>
        <w:rPr>
          <w:sz w:val="22"/>
          <w:szCs w:val="22"/>
        </w:rPr>
      </w:pPr>
    </w:p>
    <w:p w:rsidR="004C7E1D" w:rsidRPr="003B0CCD" w:rsidRDefault="004C7E1D" w:rsidP="004C7E1D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B0CCD">
        <w:rPr>
          <w:sz w:val="22"/>
          <w:szCs w:val="22"/>
        </w:rPr>
        <w:t xml:space="preserve">Заполнение организациями налоговой декларации (расчета) по налогу </w:t>
      </w:r>
      <w:r w:rsidR="002902EF" w:rsidRPr="003B0CCD">
        <w:rPr>
          <w:sz w:val="22"/>
          <w:szCs w:val="22"/>
        </w:rPr>
        <w:t xml:space="preserve">на </w:t>
      </w:r>
      <w:r w:rsidRPr="003B0CCD">
        <w:rPr>
          <w:sz w:val="22"/>
          <w:szCs w:val="22"/>
        </w:rPr>
        <w:t>при</w:t>
      </w:r>
      <w:r w:rsidR="002902EF" w:rsidRPr="003B0CCD">
        <w:rPr>
          <w:sz w:val="22"/>
          <w:szCs w:val="22"/>
        </w:rPr>
        <w:t xml:space="preserve">быль </w:t>
      </w:r>
      <w:r w:rsidRPr="003B0CCD">
        <w:rPr>
          <w:sz w:val="22"/>
          <w:szCs w:val="22"/>
        </w:rPr>
        <w:t xml:space="preserve">(далее - декларация по </w:t>
      </w:r>
      <w:r w:rsidR="002902EF" w:rsidRPr="003B0CCD">
        <w:rPr>
          <w:sz w:val="22"/>
          <w:szCs w:val="22"/>
        </w:rPr>
        <w:t>прибыли</w:t>
      </w:r>
      <w:r w:rsidRPr="003B0CCD">
        <w:rPr>
          <w:sz w:val="22"/>
          <w:szCs w:val="22"/>
        </w:rPr>
        <w:t>) 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3B0CCD">
        <w:rPr>
          <w:rFonts w:eastAsia="Calibri"/>
          <w:sz w:val="22"/>
          <w:szCs w:val="22"/>
          <w:lang w:eastAsia="en-US"/>
        </w:rPr>
        <w:t>остановлением Министерства по налогам и сборам Республики Беларусь от 03.01.2019 № 2 «Об исчислении и уплате налогов, сборов (пошлин), иных платежей» (</w:t>
      </w:r>
      <w:r w:rsidR="002902EF" w:rsidRPr="003B0CCD">
        <w:rPr>
          <w:rFonts w:eastAsia="Calibri"/>
          <w:sz w:val="22"/>
          <w:szCs w:val="22"/>
          <w:lang w:eastAsia="en-US"/>
        </w:rPr>
        <w:t xml:space="preserve">в редакции от 15.01.2021 № 2, </w:t>
      </w:r>
      <w:r w:rsidRPr="003B0CCD">
        <w:rPr>
          <w:rFonts w:eastAsia="Calibri"/>
          <w:sz w:val="22"/>
          <w:szCs w:val="22"/>
          <w:lang w:eastAsia="en-US"/>
        </w:rPr>
        <w:t>далее - Инструкция № 2).</w:t>
      </w:r>
    </w:p>
    <w:p w:rsidR="007C6697" w:rsidRPr="003B0CCD" w:rsidRDefault="007C6697" w:rsidP="004C7E1D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DD6ADC" w:rsidRPr="003B0CCD" w:rsidRDefault="00DD2FB7" w:rsidP="00253C0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B0CCD">
        <w:rPr>
          <w:rFonts w:eastAsia="Calibri"/>
          <w:b/>
          <w:sz w:val="22"/>
          <w:szCs w:val="22"/>
          <w:lang w:eastAsia="en-US"/>
        </w:rPr>
        <w:t>Ч</w:t>
      </w:r>
      <w:r w:rsidR="00DD6ADC" w:rsidRPr="003B0CCD">
        <w:rPr>
          <w:rFonts w:eastAsia="Calibri"/>
          <w:b/>
          <w:sz w:val="22"/>
          <w:szCs w:val="22"/>
          <w:lang w:eastAsia="en-US"/>
        </w:rPr>
        <w:t>а</w:t>
      </w:r>
      <w:r w:rsidRPr="003B0CCD">
        <w:rPr>
          <w:rFonts w:eastAsia="Calibri"/>
          <w:b/>
          <w:sz w:val="22"/>
          <w:szCs w:val="22"/>
          <w:lang w:eastAsia="en-US"/>
        </w:rPr>
        <w:t xml:space="preserve">сть </w:t>
      </w:r>
      <w:r w:rsidR="00B714D2" w:rsidRPr="00B714D2">
        <w:rPr>
          <w:rFonts w:eastAsia="Calibri"/>
          <w:b/>
          <w:sz w:val="22"/>
          <w:szCs w:val="22"/>
          <w:lang w:eastAsia="en-US"/>
        </w:rPr>
        <w:t xml:space="preserve"> </w:t>
      </w:r>
      <w:r w:rsidRPr="003B0CCD">
        <w:rPr>
          <w:rFonts w:eastAsia="Calibri"/>
          <w:b/>
          <w:sz w:val="22"/>
          <w:szCs w:val="22"/>
          <w:lang w:val="en-US" w:eastAsia="en-US"/>
        </w:rPr>
        <w:t>V</w:t>
      </w:r>
      <w:r w:rsidR="00DD6ADC" w:rsidRPr="003B0CCD">
        <w:rPr>
          <w:rFonts w:eastAsia="Calibri"/>
          <w:b/>
          <w:sz w:val="22"/>
          <w:szCs w:val="22"/>
          <w:lang w:eastAsia="en-US"/>
        </w:rPr>
        <w:t xml:space="preserve"> </w:t>
      </w:r>
      <w:r w:rsidR="00B714D2" w:rsidRPr="00B714D2">
        <w:rPr>
          <w:rFonts w:eastAsia="Calibri"/>
          <w:b/>
          <w:sz w:val="22"/>
          <w:szCs w:val="22"/>
          <w:lang w:eastAsia="en-US"/>
        </w:rPr>
        <w:t xml:space="preserve"> </w:t>
      </w:r>
      <w:r w:rsidR="00DD6ADC" w:rsidRPr="003B0CCD">
        <w:rPr>
          <w:rFonts w:eastAsia="Calibri"/>
          <w:b/>
          <w:sz w:val="22"/>
          <w:szCs w:val="22"/>
          <w:lang w:eastAsia="en-US"/>
        </w:rPr>
        <w:t xml:space="preserve">«Другие сведения» </w:t>
      </w:r>
      <w:r w:rsidR="00DD6ADC" w:rsidRPr="003B0CCD">
        <w:rPr>
          <w:sz w:val="22"/>
          <w:szCs w:val="22"/>
        </w:rPr>
        <w:t xml:space="preserve">декларации по </w:t>
      </w:r>
      <w:r w:rsidRPr="003B0CCD">
        <w:rPr>
          <w:sz w:val="22"/>
          <w:szCs w:val="22"/>
        </w:rPr>
        <w:t xml:space="preserve">прибыли </w:t>
      </w:r>
      <w:r w:rsidR="007C6697" w:rsidRPr="003B0CCD">
        <w:rPr>
          <w:sz w:val="22"/>
          <w:szCs w:val="22"/>
        </w:rPr>
        <w:t>включает</w:t>
      </w:r>
      <w:r w:rsidR="00DD6ADC" w:rsidRPr="003B0CCD">
        <w:rPr>
          <w:sz w:val="22"/>
          <w:szCs w:val="22"/>
        </w:rPr>
        <w:t>, в том числе следующие строки:</w:t>
      </w:r>
    </w:p>
    <w:p w:rsidR="00DD6ADC" w:rsidRPr="003B0CCD" w:rsidRDefault="00DD6ADC" w:rsidP="00253C0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B0CCD">
        <w:rPr>
          <w:sz w:val="22"/>
          <w:szCs w:val="22"/>
        </w:rPr>
        <w:t xml:space="preserve">- </w:t>
      </w:r>
      <w:r w:rsidRPr="003B0CCD">
        <w:rPr>
          <w:rFonts w:eastAsia="Calibri"/>
          <w:b/>
          <w:sz w:val="22"/>
          <w:szCs w:val="22"/>
          <w:lang w:eastAsia="en-US"/>
        </w:rPr>
        <w:t xml:space="preserve">строка </w:t>
      </w:r>
      <w:r w:rsidR="00DD2FB7" w:rsidRPr="003B0CCD">
        <w:rPr>
          <w:rFonts w:eastAsia="Calibri"/>
          <w:b/>
          <w:sz w:val="22"/>
          <w:szCs w:val="22"/>
          <w:lang w:eastAsia="en-US"/>
        </w:rPr>
        <w:t>5</w:t>
      </w:r>
      <w:r w:rsidRPr="003B0CCD">
        <w:rPr>
          <w:rFonts w:eastAsia="Calibri"/>
          <w:b/>
          <w:sz w:val="22"/>
          <w:szCs w:val="22"/>
          <w:lang w:eastAsia="en-US"/>
        </w:rPr>
        <w:t xml:space="preserve"> «Фонд заработной платы»</w:t>
      </w:r>
      <w:r w:rsidRPr="003B0CCD">
        <w:rPr>
          <w:rFonts w:eastAsia="Calibri"/>
          <w:sz w:val="22"/>
          <w:szCs w:val="22"/>
          <w:lang w:eastAsia="en-US"/>
        </w:rPr>
        <w:t>;</w:t>
      </w:r>
    </w:p>
    <w:p w:rsidR="00DD6ADC" w:rsidRPr="003B0CCD" w:rsidRDefault="00DD6ADC" w:rsidP="00253C0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B0CCD">
        <w:rPr>
          <w:rFonts w:eastAsia="Calibri"/>
          <w:sz w:val="22"/>
          <w:szCs w:val="22"/>
          <w:lang w:eastAsia="en-US"/>
        </w:rPr>
        <w:t xml:space="preserve">- </w:t>
      </w:r>
      <w:r w:rsidRPr="003B0CCD">
        <w:rPr>
          <w:rFonts w:eastAsia="Calibri"/>
          <w:b/>
          <w:sz w:val="22"/>
          <w:szCs w:val="22"/>
          <w:lang w:eastAsia="en-US"/>
        </w:rPr>
        <w:t>строк</w:t>
      </w:r>
      <w:r w:rsidR="00DD2FB7" w:rsidRPr="003B0CCD">
        <w:rPr>
          <w:rFonts w:eastAsia="Calibri"/>
          <w:b/>
          <w:sz w:val="22"/>
          <w:szCs w:val="22"/>
          <w:lang w:eastAsia="en-US"/>
        </w:rPr>
        <w:t>а</w:t>
      </w:r>
      <w:r w:rsidRPr="003B0CCD">
        <w:rPr>
          <w:rFonts w:eastAsia="Calibri"/>
          <w:b/>
          <w:sz w:val="22"/>
          <w:szCs w:val="22"/>
          <w:lang w:eastAsia="en-US"/>
        </w:rPr>
        <w:t xml:space="preserve"> </w:t>
      </w:r>
      <w:r w:rsidR="00DD2FB7" w:rsidRPr="003B0CCD">
        <w:rPr>
          <w:rFonts w:eastAsia="Calibri"/>
          <w:b/>
          <w:sz w:val="22"/>
          <w:szCs w:val="22"/>
          <w:lang w:eastAsia="en-US"/>
        </w:rPr>
        <w:t>6</w:t>
      </w:r>
      <w:r w:rsidRPr="003B0CCD">
        <w:rPr>
          <w:rFonts w:eastAsia="Calibri"/>
          <w:b/>
          <w:sz w:val="22"/>
          <w:szCs w:val="22"/>
          <w:lang w:eastAsia="en-US"/>
        </w:rPr>
        <w:t xml:space="preserve"> «</w:t>
      </w:r>
      <w:r w:rsidRPr="003B0CCD">
        <w:rPr>
          <w:rFonts w:eastAsia="Calibri"/>
          <w:b/>
          <w:bCs/>
          <w:sz w:val="22"/>
          <w:szCs w:val="22"/>
          <w:lang w:eastAsia="en-US"/>
        </w:rPr>
        <w:t>Среднесписочная численность работников за отчетный период, чел.</w:t>
      </w:r>
      <w:r w:rsidRPr="003B0CCD">
        <w:rPr>
          <w:rFonts w:eastAsia="Calibri"/>
          <w:b/>
          <w:sz w:val="22"/>
          <w:szCs w:val="22"/>
          <w:lang w:eastAsia="en-US"/>
        </w:rPr>
        <w:t>»</w:t>
      </w:r>
      <w:r w:rsidR="00DB2DBD" w:rsidRPr="003B0CCD">
        <w:rPr>
          <w:rFonts w:eastAsia="Calibri"/>
          <w:sz w:val="22"/>
          <w:szCs w:val="22"/>
          <w:lang w:eastAsia="en-US"/>
        </w:rPr>
        <w:t>.</w:t>
      </w:r>
      <w:r w:rsidR="006567B3" w:rsidRPr="003B0CCD">
        <w:rPr>
          <w:rFonts w:eastAsia="Calibri"/>
          <w:sz w:val="22"/>
          <w:szCs w:val="22"/>
          <w:lang w:eastAsia="en-US"/>
        </w:rPr>
        <w:t>;</w:t>
      </w:r>
    </w:p>
    <w:p w:rsidR="006567B3" w:rsidRPr="003B0CCD" w:rsidRDefault="006567B3" w:rsidP="00253C0F">
      <w:pPr>
        <w:autoSpaceDE w:val="0"/>
        <w:autoSpaceDN w:val="0"/>
        <w:adjustRightInd w:val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3B0CCD">
        <w:rPr>
          <w:rFonts w:eastAsia="Calibri"/>
          <w:b/>
          <w:bCs/>
          <w:sz w:val="22"/>
          <w:szCs w:val="22"/>
          <w:lang w:eastAsia="en-US"/>
        </w:rPr>
        <w:t xml:space="preserve">- </w:t>
      </w:r>
      <w:r w:rsidRPr="003B0CCD">
        <w:rPr>
          <w:rFonts w:eastAsia="Calibri"/>
          <w:b/>
          <w:sz w:val="22"/>
          <w:szCs w:val="22"/>
          <w:lang w:eastAsia="en-US"/>
        </w:rPr>
        <w:t>строка 7 «</w:t>
      </w:r>
      <w:r w:rsidRPr="003B0CCD">
        <w:rPr>
          <w:rFonts w:eastAsia="Calibri"/>
          <w:b/>
          <w:bCs/>
          <w:sz w:val="22"/>
          <w:szCs w:val="22"/>
          <w:lang w:eastAsia="en-US"/>
        </w:rPr>
        <w:t>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года»;</w:t>
      </w:r>
    </w:p>
    <w:p w:rsidR="00C81F7B" w:rsidRPr="00EA19B1" w:rsidRDefault="006567B3" w:rsidP="00253C0F">
      <w:pPr>
        <w:autoSpaceDE w:val="0"/>
        <w:autoSpaceDN w:val="0"/>
        <w:adjustRightInd w:val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3B0CCD">
        <w:rPr>
          <w:rFonts w:eastAsia="Calibri"/>
          <w:b/>
          <w:bCs/>
          <w:sz w:val="22"/>
          <w:szCs w:val="22"/>
          <w:lang w:eastAsia="en-US"/>
        </w:rPr>
        <w:t xml:space="preserve">- </w:t>
      </w:r>
      <w:r w:rsidRPr="003B0CCD">
        <w:rPr>
          <w:rFonts w:eastAsia="Calibri"/>
          <w:b/>
          <w:sz w:val="22"/>
          <w:szCs w:val="22"/>
          <w:lang w:eastAsia="en-US"/>
        </w:rPr>
        <w:t xml:space="preserve">строка </w:t>
      </w:r>
      <w:r w:rsidR="00C81F7B" w:rsidRPr="003B0CCD">
        <w:rPr>
          <w:rFonts w:eastAsia="Calibri"/>
          <w:b/>
          <w:sz w:val="22"/>
          <w:szCs w:val="22"/>
          <w:lang w:eastAsia="en-US"/>
        </w:rPr>
        <w:t>8</w:t>
      </w:r>
      <w:r w:rsidR="004B1B6F" w:rsidRPr="003B0CCD">
        <w:rPr>
          <w:rFonts w:eastAsia="Calibri"/>
          <w:b/>
          <w:sz w:val="22"/>
          <w:szCs w:val="22"/>
          <w:lang w:eastAsia="en-US"/>
        </w:rPr>
        <w:t xml:space="preserve"> «</w:t>
      </w:r>
      <w:r w:rsidR="004B1B6F" w:rsidRPr="003B0CCD">
        <w:rPr>
          <w:rFonts w:eastAsia="Calibri"/>
          <w:b/>
          <w:bCs/>
          <w:sz w:val="22"/>
          <w:szCs w:val="22"/>
          <w:lang w:eastAsia="en-US"/>
        </w:rPr>
        <w:t xml:space="preserve">Подоходный налог с физических лиц, исчисленный с доходов, фактически выплаченных в отчетном периоде, </w:t>
      </w:r>
      <w:r w:rsidR="004B1B6F" w:rsidRPr="00C05617">
        <w:rPr>
          <w:rFonts w:eastAsia="Calibri"/>
          <w:b/>
          <w:bCs/>
          <w:sz w:val="22"/>
          <w:szCs w:val="22"/>
          <w:lang w:eastAsia="en-US"/>
        </w:rPr>
        <w:t>в том числе</w:t>
      </w:r>
      <w:r w:rsidR="00D92970" w:rsidRPr="00C05617">
        <w:rPr>
          <w:rFonts w:eastAsia="Calibri"/>
          <w:b/>
          <w:bCs/>
          <w:sz w:val="22"/>
          <w:szCs w:val="22"/>
          <w:lang w:eastAsia="en-US"/>
        </w:rPr>
        <w:t xml:space="preserve"> строки</w:t>
      </w:r>
      <w:r w:rsidR="004B1B6F" w:rsidRPr="00C05617">
        <w:rPr>
          <w:rFonts w:eastAsia="Calibri"/>
          <w:b/>
          <w:bCs/>
          <w:sz w:val="22"/>
          <w:szCs w:val="22"/>
          <w:lang w:eastAsia="en-US"/>
        </w:rPr>
        <w:t>:</w:t>
      </w:r>
    </w:p>
    <w:p w:rsidR="00EA19B1" w:rsidRPr="003B0CCD" w:rsidRDefault="00EA19B1" w:rsidP="00EA19B1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EA19B1">
        <w:rPr>
          <w:rFonts w:eastAsia="Calibri"/>
          <w:b/>
          <w:sz w:val="22"/>
          <w:szCs w:val="22"/>
          <w:lang w:eastAsia="en-US"/>
        </w:rPr>
        <w:t xml:space="preserve">                        </w:t>
      </w:r>
      <w:r w:rsidR="00D92970">
        <w:rPr>
          <w:rFonts w:eastAsia="Calibri"/>
          <w:b/>
          <w:sz w:val="22"/>
          <w:szCs w:val="22"/>
          <w:lang w:eastAsia="en-US"/>
        </w:rPr>
        <w:t xml:space="preserve">  8.1 </w:t>
      </w:r>
      <w:r w:rsidRPr="00EA19B1">
        <w:rPr>
          <w:rFonts w:eastAsia="Calibri"/>
          <w:b/>
          <w:sz w:val="22"/>
          <w:szCs w:val="22"/>
          <w:lang w:eastAsia="en-US"/>
        </w:rPr>
        <w:t xml:space="preserve"> </w:t>
      </w:r>
      <w:r w:rsidRPr="003B0CCD">
        <w:rPr>
          <w:rFonts w:eastAsia="Calibri"/>
          <w:b/>
          <w:sz w:val="22"/>
          <w:szCs w:val="22"/>
          <w:lang w:eastAsia="en-US"/>
        </w:rPr>
        <w:t xml:space="preserve">по результатам проверок; </w:t>
      </w:r>
    </w:p>
    <w:p w:rsidR="00EA19B1" w:rsidRPr="00EA19B1" w:rsidRDefault="00EA19B1" w:rsidP="00EA19B1">
      <w:pPr>
        <w:autoSpaceDE w:val="0"/>
        <w:autoSpaceDN w:val="0"/>
        <w:adjustRightInd w:val="0"/>
        <w:ind w:firstLine="708"/>
        <w:rPr>
          <w:rFonts w:eastAsia="Calibri"/>
          <w:b/>
          <w:sz w:val="22"/>
          <w:szCs w:val="22"/>
          <w:lang w:eastAsia="en-US"/>
        </w:rPr>
      </w:pPr>
      <w:r w:rsidRPr="00EA19B1">
        <w:rPr>
          <w:rFonts w:eastAsia="Calibri"/>
          <w:b/>
          <w:bCs/>
          <w:sz w:val="22"/>
          <w:szCs w:val="22"/>
          <w:lang w:eastAsia="en-US"/>
        </w:rPr>
        <w:t xml:space="preserve">               </w:t>
      </w:r>
      <w:r w:rsidR="00D92970">
        <w:rPr>
          <w:rFonts w:eastAsia="Calibri"/>
          <w:b/>
          <w:bCs/>
          <w:sz w:val="22"/>
          <w:szCs w:val="22"/>
          <w:lang w:eastAsia="en-US"/>
        </w:rPr>
        <w:t xml:space="preserve"> 8.2  </w:t>
      </w:r>
      <w:r w:rsidRPr="003B0CCD">
        <w:rPr>
          <w:rFonts w:eastAsia="Calibri"/>
          <w:b/>
          <w:bCs/>
          <w:sz w:val="22"/>
          <w:szCs w:val="22"/>
          <w:lang w:eastAsia="en-US"/>
        </w:rPr>
        <w:t>в соответствии с пунктом 8 статьи 73 Налогового кодекса Республики Беларусь»</w:t>
      </w:r>
    </w:p>
    <w:p w:rsidR="004B1B6F" w:rsidRPr="003B0CCD" w:rsidRDefault="00C81F7B" w:rsidP="00253C0F">
      <w:pPr>
        <w:autoSpaceDE w:val="0"/>
        <w:autoSpaceDN w:val="0"/>
        <w:adjustRightInd w:val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3B0CCD">
        <w:rPr>
          <w:rFonts w:eastAsia="Calibri"/>
          <w:b/>
          <w:sz w:val="22"/>
          <w:szCs w:val="22"/>
          <w:lang w:eastAsia="en-US"/>
        </w:rPr>
        <w:t>-</w:t>
      </w:r>
      <w:r w:rsidR="006567B3" w:rsidRPr="003B0CCD">
        <w:rPr>
          <w:rFonts w:eastAsia="Calibri"/>
          <w:b/>
          <w:sz w:val="22"/>
          <w:szCs w:val="22"/>
          <w:lang w:eastAsia="en-US"/>
        </w:rPr>
        <w:t xml:space="preserve"> строка </w:t>
      </w:r>
      <w:r w:rsidR="004B1B6F" w:rsidRPr="003B0CCD">
        <w:rPr>
          <w:rFonts w:eastAsia="Calibri"/>
          <w:b/>
          <w:sz w:val="22"/>
          <w:szCs w:val="22"/>
          <w:lang w:eastAsia="en-US"/>
        </w:rPr>
        <w:t>9 «</w:t>
      </w:r>
      <w:r w:rsidR="004B1B6F" w:rsidRPr="003B0CCD">
        <w:rPr>
          <w:rFonts w:eastAsia="Calibri"/>
          <w:b/>
          <w:bCs/>
          <w:sz w:val="22"/>
          <w:szCs w:val="22"/>
          <w:lang w:eastAsia="en-US"/>
        </w:rPr>
        <w:t>Подоходный налог с физических лиц, перечисленный в бюджет в отчетном периоде»;</w:t>
      </w:r>
    </w:p>
    <w:p w:rsidR="004B1B6F" w:rsidRPr="003B0CCD" w:rsidRDefault="004B1B6F" w:rsidP="00253C0F">
      <w:pPr>
        <w:autoSpaceDE w:val="0"/>
        <w:autoSpaceDN w:val="0"/>
        <w:adjustRightInd w:val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3B0CCD">
        <w:rPr>
          <w:rFonts w:eastAsia="Calibri"/>
          <w:b/>
          <w:sz w:val="22"/>
          <w:szCs w:val="22"/>
          <w:lang w:eastAsia="en-US"/>
        </w:rPr>
        <w:t>- строка 10 «</w:t>
      </w:r>
      <w:r w:rsidRPr="003B0CCD">
        <w:rPr>
          <w:rFonts w:eastAsia="Calibri"/>
          <w:b/>
          <w:bCs/>
          <w:sz w:val="22"/>
          <w:szCs w:val="22"/>
          <w:lang w:eastAsia="en-US"/>
        </w:rPr>
        <w:t>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периода».</w:t>
      </w:r>
    </w:p>
    <w:p w:rsidR="00DD6ADC" w:rsidRPr="003B0CCD" w:rsidRDefault="00DD6ADC" w:rsidP="00253C0F">
      <w:pPr>
        <w:autoSpaceDE w:val="0"/>
        <w:autoSpaceDN w:val="0"/>
        <w:adjustRightInd w:val="0"/>
        <w:spacing w:before="24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B0CCD">
        <w:rPr>
          <w:rFonts w:eastAsia="Calibri"/>
          <w:sz w:val="22"/>
          <w:szCs w:val="22"/>
          <w:lang w:eastAsia="en-US"/>
        </w:rPr>
        <w:t>Порядок заполнения данных строк следующий: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386"/>
        <w:gridCol w:w="3260"/>
      </w:tblGrid>
      <w:tr w:rsidR="00DD6ADC" w:rsidRPr="003B0CCD" w:rsidTr="00A12E93">
        <w:tc>
          <w:tcPr>
            <w:tcW w:w="10881" w:type="dxa"/>
            <w:gridSpan w:val="3"/>
            <w:shd w:val="clear" w:color="auto" w:fill="auto"/>
          </w:tcPr>
          <w:p w:rsidR="00DB2DBD" w:rsidRPr="003B0CCD" w:rsidRDefault="00DD6ADC" w:rsidP="00A12E9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0CC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Строка </w:t>
            </w:r>
            <w:r w:rsidR="00A00922" w:rsidRPr="003B0CCD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3B0CC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B2DBD" w:rsidRPr="003B0CCD">
              <w:rPr>
                <w:rFonts w:eastAsia="Calibri"/>
                <w:b/>
                <w:sz w:val="22"/>
                <w:szCs w:val="22"/>
                <w:lang w:eastAsia="en-US"/>
              </w:rPr>
              <w:t>«Фонд заработной платы»</w:t>
            </w:r>
          </w:p>
        </w:tc>
      </w:tr>
      <w:tr w:rsidR="00231B81" w:rsidRPr="003B0CCD" w:rsidTr="0048702A">
        <w:tc>
          <w:tcPr>
            <w:tcW w:w="2235" w:type="dxa"/>
            <w:shd w:val="clear" w:color="auto" w:fill="auto"/>
          </w:tcPr>
          <w:p w:rsidR="005F7EF0" w:rsidRDefault="00DB2DBD" w:rsidP="00C0561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3B0CCD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="005F7EF0" w:rsidRPr="003B0CC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D6ADC" w:rsidRPr="003B0CCD">
              <w:rPr>
                <w:rFonts w:eastAsia="Calibri"/>
                <w:sz w:val="22"/>
                <w:szCs w:val="22"/>
                <w:lang w:eastAsia="en-US"/>
              </w:rPr>
              <w:t>заполняется нарастающим итогом с начала года</w:t>
            </w:r>
            <w:r w:rsidR="006A243B" w:rsidRPr="003B0CCD">
              <w:rPr>
                <w:rFonts w:eastAsia="Calibri"/>
                <w:i/>
                <w:sz w:val="22"/>
                <w:szCs w:val="22"/>
              </w:rPr>
              <w:t xml:space="preserve"> (пункт 50 Инструкции № 2)</w:t>
            </w:r>
          </w:p>
          <w:p w:rsidR="00EA19B1" w:rsidRPr="00EA19B1" w:rsidRDefault="00EA19B1" w:rsidP="00C0561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  <w:p w:rsidR="00EA19B1" w:rsidRPr="00FD0457" w:rsidRDefault="005F7EF0" w:rsidP="00C05617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 w:rsidRPr="003B0CCD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DD6ADC" w:rsidRPr="003B0CCD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DD6ADC" w:rsidRPr="003B0CCD">
              <w:rPr>
                <w:sz w:val="22"/>
                <w:szCs w:val="22"/>
              </w:rPr>
              <w:t xml:space="preserve">определяется в соответствии с главой    5 </w:t>
            </w:r>
            <w:r w:rsidR="00FD0457">
              <w:rPr>
                <w:sz w:val="22"/>
                <w:szCs w:val="22"/>
              </w:rPr>
              <w:t xml:space="preserve"> </w:t>
            </w:r>
            <w:r w:rsidR="00DD6ADC" w:rsidRPr="003B0CCD">
              <w:rPr>
                <w:sz w:val="22"/>
                <w:szCs w:val="22"/>
              </w:rPr>
              <w:t xml:space="preserve">Указаний по заполнению в формах государственных статистических наблюдений статистических показателей по труду, </w:t>
            </w:r>
            <w:r w:rsidR="00DD6ADC" w:rsidRPr="003B0CCD">
              <w:rPr>
                <w:i/>
                <w:sz w:val="22"/>
                <w:szCs w:val="22"/>
              </w:rPr>
              <w:t xml:space="preserve">утвержденных постановлением Национального статистического комитета от 20.01.2020 № 1 (далее - Указания </w:t>
            </w:r>
          </w:p>
          <w:p w:rsidR="00DD6ADC" w:rsidRPr="003B0CCD" w:rsidRDefault="00DD6ADC" w:rsidP="00C0561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B0CCD">
              <w:rPr>
                <w:i/>
                <w:sz w:val="22"/>
                <w:szCs w:val="22"/>
              </w:rPr>
              <w:t>№ 1)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DE5FB3" w:rsidRPr="003B0CCD" w:rsidRDefault="00DB2DBD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 xml:space="preserve">  </w:t>
            </w:r>
            <w:r w:rsidR="00DE5FB3" w:rsidRPr="003B0CCD">
              <w:rPr>
                <w:i/>
                <w:sz w:val="22"/>
                <w:szCs w:val="22"/>
              </w:rPr>
              <w:t>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3B0CCD">
              <w:rPr>
                <w:b/>
                <w:i/>
                <w:sz w:val="22"/>
                <w:szCs w:val="22"/>
              </w:rPr>
              <w:t>1) заработная плата за выполненную работу и отработанное время: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заработная плата, начисленная работникам в процентах от выручки (прибыли);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комиссионное вознаграждение;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суммы индексации заработной платы;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стоимость продукции, выдаваемой в порядке натуральной оплаты;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зарплата, начисленная лицам, проходящим производственную практику в организации;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средний заработок при переводе и перемещении работника на другую нижеоплачиваемую работу;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доплаты работникам до размера минимальной заработной платы, установленной законодательством;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заработная плата внешних совместителей;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 xml:space="preserve">заработная плата (вознаграждение) лиц </w:t>
            </w:r>
            <w:proofErr w:type="spellStart"/>
            <w:r w:rsidRPr="003B0CCD">
              <w:rPr>
                <w:i/>
                <w:sz w:val="22"/>
                <w:szCs w:val="22"/>
              </w:rPr>
              <w:t>несписочного</w:t>
            </w:r>
            <w:proofErr w:type="spellEnd"/>
            <w:r w:rsidRPr="003B0CCD">
              <w:rPr>
                <w:i/>
                <w:sz w:val="22"/>
                <w:szCs w:val="22"/>
              </w:rPr>
              <w:t xml:space="preserve"> состава: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физическими лицами, а не с субъектами хозяйствования;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привлеченных на сельскохозяйственные работы (учащиеся, пенсионеры, работники других организаций);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lastRenderedPageBreak/>
              <w:t xml:space="preserve">премии, вознаграждения, стоимость подарков освобожденным профсоюзным работникам и другим лицам </w:t>
            </w:r>
            <w:proofErr w:type="spellStart"/>
            <w:r w:rsidRPr="003B0CCD">
              <w:rPr>
                <w:i/>
                <w:sz w:val="22"/>
                <w:szCs w:val="22"/>
              </w:rPr>
              <w:t>несписочного</w:t>
            </w:r>
            <w:proofErr w:type="spellEnd"/>
            <w:r w:rsidRPr="003B0CCD">
              <w:rPr>
                <w:i/>
                <w:sz w:val="22"/>
                <w:szCs w:val="22"/>
              </w:rPr>
              <w:t xml:space="preserve"> состава;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суммы заработной платы уволенным работникам, начисленные с задержкой;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3B0CCD">
              <w:rPr>
                <w:b/>
                <w:i/>
                <w:sz w:val="22"/>
                <w:szCs w:val="22"/>
              </w:rPr>
              <w:t>2) стимулирующие выплаты: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единовременные выплаты – премии, бонусы, в том числе по итогам работы за год, годовое вознаграждение (за выслугу лет, 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b/>
                <w:i/>
                <w:sz w:val="22"/>
                <w:szCs w:val="22"/>
              </w:rPr>
              <w:t>3) компенсирующие выплаты</w:t>
            </w:r>
            <w:r w:rsidRPr="003B0CCD">
              <w:rPr>
                <w:i/>
                <w:sz w:val="22"/>
                <w:szCs w:val="22"/>
              </w:rPr>
              <w:t xml:space="preserve">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время, доплаты молодым специалистам, установленные в соответствии с законодательством, другие компенсирующие выплаты;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b/>
                <w:i/>
                <w:sz w:val="22"/>
                <w:szCs w:val="22"/>
              </w:rPr>
              <w:t>4) оплата за неотработанное время</w:t>
            </w:r>
            <w:r w:rsidRPr="003B0CCD">
              <w:rPr>
                <w:i/>
                <w:sz w:val="22"/>
                <w:szCs w:val="22"/>
              </w:rPr>
              <w:t xml:space="preserve">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 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b/>
                <w:i/>
                <w:sz w:val="22"/>
                <w:szCs w:val="22"/>
              </w:rPr>
              <w:t>5) другие выплаты</w:t>
            </w:r>
            <w:r w:rsidRPr="003B0CCD">
              <w:rPr>
                <w:i/>
                <w:sz w:val="22"/>
                <w:szCs w:val="22"/>
              </w:rPr>
              <w:t xml:space="preserve"> – 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3B0CCD">
              <w:rPr>
                <w:b/>
                <w:i/>
                <w:sz w:val="22"/>
                <w:szCs w:val="22"/>
              </w:rPr>
              <w:t>Не отражаются в составе фонда заработной платы: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выходное пособие при прекращении трудового договора (контракта), единовременные выплаты при выходе на пенсию (в отставку);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доплаты к пенсиям за счет средств организации;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компенсации в связи с переездом на работу в другую местность;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необходимостью расходы на получение образования работниками;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спортивные мероприятия, стоимость цветов, приобретенных к праздникам, юбилеям;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lastRenderedPageBreak/>
      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материальная помощь работникам по заявлению (в связи со вступлением в брак, рождением ребенка, постигшим их стихийным 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компенсация затрат за использование для нужд организации принадлежащих работникам транспортных средств и другого имущества;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заработная плата за день проведения республиканского субботника;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 xml:space="preserve">выплаты, предоставленные лицам, не работающим в организации; </w:t>
            </w:r>
          </w:p>
          <w:p w:rsidR="00DD6ADC" w:rsidRPr="003B0CCD" w:rsidRDefault="00DE5FB3" w:rsidP="00DE5FB3">
            <w:pPr>
              <w:autoSpaceDE w:val="0"/>
              <w:autoSpaceDN w:val="0"/>
              <w:adjustRightInd w:val="0"/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другие выплаты.</w:t>
            </w:r>
          </w:p>
        </w:tc>
      </w:tr>
      <w:tr w:rsidR="00DD6ADC" w:rsidRPr="003B0CCD" w:rsidTr="00A12E93">
        <w:tc>
          <w:tcPr>
            <w:tcW w:w="10881" w:type="dxa"/>
            <w:gridSpan w:val="3"/>
            <w:shd w:val="clear" w:color="auto" w:fill="auto"/>
          </w:tcPr>
          <w:p w:rsidR="00DD6ADC" w:rsidRPr="003B0CCD" w:rsidRDefault="00DD6ADC" w:rsidP="00A12E9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3B0CCD">
              <w:rPr>
                <w:b/>
                <w:sz w:val="22"/>
                <w:szCs w:val="22"/>
              </w:rPr>
              <w:lastRenderedPageBreak/>
              <w:t xml:space="preserve">Строка </w:t>
            </w:r>
            <w:r w:rsidR="00D13E04" w:rsidRPr="003B0CCD">
              <w:rPr>
                <w:b/>
                <w:sz w:val="22"/>
                <w:szCs w:val="22"/>
              </w:rPr>
              <w:t>6</w:t>
            </w:r>
            <w:r w:rsidR="00DB2DBD" w:rsidRPr="003B0CCD">
              <w:rPr>
                <w:b/>
                <w:i/>
                <w:sz w:val="22"/>
                <w:szCs w:val="22"/>
              </w:rPr>
              <w:t xml:space="preserve"> </w:t>
            </w:r>
            <w:r w:rsidR="00DB2DBD" w:rsidRPr="003B0CCD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DB2DBD" w:rsidRPr="003B0CC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Среднесписочная численность работников за отчетный период, чел.</w:t>
            </w:r>
            <w:r w:rsidR="00DB2DBD" w:rsidRPr="003B0CCD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231B81" w:rsidRPr="003B0CCD" w:rsidTr="0048702A">
        <w:tc>
          <w:tcPr>
            <w:tcW w:w="2235" w:type="dxa"/>
            <w:shd w:val="clear" w:color="auto" w:fill="auto"/>
          </w:tcPr>
          <w:p w:rsidR="007C6697" w:rsidRPr="003B0CCD" w:rsidRDefault="00C05617" w:rsidP="00C0561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E6278D" w:rsidRPr="003B0CC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24998" w:rsidRPr="003B0CCD">
              <w:rPr>
                <w:rFonts w:eastAsia="Calibri"/>
                <w:sz w:val="22"/>
                <w:szCs w:val="22"/>
                <w:lang w:eastAsia="en-US"/>
              </w:rPr>
              <w:t>заполняется нара</w:t>
            </w:r>
            <w:r w:rsidR="00E6278D" w:rsidRPr="003B0CC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C24998" w:rsidRPr="003B0CCD">
              <w:rPr>
                <w:rFonts w:eastAsia="Calibri"/>
                <w:sz w:val="22"/>
                <w:szCs w:val="22"/>
                <w:lang w:eastAsia="en-US"/>
              </w:rPr>
              <w:t>та</w:t>
            </w:r>
            <w:r w:rsidR="00E6278D" w:rsidRPr="003B0CCD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C24998" w:rsidRPr="003B0CCD">
              <w:rPr>
                <w:rFonts w:eastAsia="Calibri"/>
                <w:sz w:val="22"/>
                <w:szCs w:val="22"/>
                <w:lang w:eastAsia="en-US"/>
              </w:rPr>
              <w:t xml:space="preserve">щим итогом </w:t>
            </w:r>
            <w:r w:rsidR="00DD6ADC" w:rsidRPr="003B0CCD">
              <w:rPr>
                <w:rFonts w:eastAsia="Calibri"/>
                <w:sz w:val="22"/>
                <w:szCs w:val="22"/>
                <w:lang w:eastAsia="en-US"/>
              </w:rPr>
              <w:t xml:space="preserve">с начала года </w:t>
            </w:r>
          </w:p>
          <w:p w:rsidR="00DD6ADC" w:rsidRDefault="00E6278D" w:rsidP="00C0561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B0CCD">
              <w:rPr>
                <w:bCs/>
                <w:i/>
                <w:sz w:val="22"/>
                <w:szCs w:val="22"/>
              </w:rPr>
              <w:t>(пункт</w:t>
            </w:r>
            <w:r w:rsidR="00C24998" w:rsidRPr="003B0CCD">
              <w:rPr>
                <w:bCs/>
                <w:i/>
                <w:sz w:val="22"/>
                <w:szCs w:val="22"/>
              </w:rPr>
              <w:t xml:space="preserve">50 </w:t>
            </w:r>
            <w:r w:rsidR="00DD6ADC" w:rsidRPr="003B0CCD">
              <w:rPr>
                <w:rFonts w:eastAsia="Calibri"/>
                <w:i/>
                <w:sz w:val="22"/>
                <w:szCs w:val="22"/>
                <w:lang w:eastAsia="en-US"/>
              </w:rPr>
              <w:t>Инструкции № 2</w:t>
            </w:r>
            <w:r w:rsidR="00DD6ADC" w:rsidRPr="003B0CCD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:rsidR="00EA19B1" w:rsidRPr="00EA19B1" w:rsidRDefault="00EA19B1" w:rsidP="00C0561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D0457" w:rsidRDefault="00DB2DBD" w:rsidP="00C0561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B0CCD">
              <w:rPr>
                <w:sz w:val="22"/>
                <w:szCs w:val="22"/>
              </w:rPr>
              <w:t xml:space="preserve">  </w:t>
            </w:r>
            <w:r w:rsidR="00CB0DB6" w:rsidRPr="003B0CCD">
              <w:rPr>
                <w:sz w:val="22"/>
                <w:szCs w:val="22"/>
              </w:rPr>
              <w:t>- определяется на основании данных учета рабочего времени работников организации</w:t>
            </w:r>
          </w:p>
          <w:p w:rsidR="00CB0DB6" w:rsidRPr="00FD0457" w:rsidRDefault="00CB0DB6" w:rsidP="00C05617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2"/>
                <w:szCs w:val="22"/>
              </w:rPr>
            </w:pPr>
            <w:r w:rsidRPr="003B0CCD">
              <w:rPr>
                <w:sz w:val="22"/>
                <w:szCs w:val="22"/>
              </w:rPr>
              <w:t xml:space="preserve"> </w:t>
            </w:r>
            <w:r w:rsidRPr="00FD0457">
              <w:rPr>
                <w:i/>
                <w:sz w:val="22"/>
                <w:szCs w:val="22"/>
              </w:rPr>
              <w:t>в соответствии с пунктом 10 главы 2 Указаний № 1.</w:t>
            </w:r>
            <w:r w:rsidRPr="00FD0457">
              <w:rPr>
                <w:bCs/>
                <w:i/>
                <w:sz w:val="22"/>
                <w:szCs w:val="22"/>
              </w:rPr>
              <w:t xml:space="preserve"> </w:t>
            </w:r>
          </w:p>
          <w:p w:rsidR="00692BAB" w:rsidRPr="003B0CCD" w:rsidRDefault="00692BAB" w:rsidP="003D210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 xml:space="preserve">При расчете среднесписочной численности работников из численности работников списочного состава </w:t>
            </w:r>
            <w:r w:rsidRPr="003B0CCD">
              <w:rPr>
                <w:b/>
                <w:i/>
                <w:sz w:val="22"/>
                <w:szCs w:val="22"/>
              </w:rPr>
              <w:t>исключаются следующие категории работников: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находящиеся в отпусках по беременности и родам, по уходу за ребенком до достижения им возраста трех лет;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 xml:space="preserve">не явившиеся на работу в связи с временной нетрудоспособностью – за все календарные дни временной нетрудоспособности. 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proofErr w:type="spellStart"/>
            <w:r w:rsidRPr="00EA19B1">
              <w:rPr>
                <w:i/>
                <w:sz w:val="22"/>
                <w:szCs w:val="22"/>
                <w:u w:val="single"/>
              </w:rPr>
              <w:t>Справочно</w:t>
            </w:r>
            <w:proofErr w:type="spellEnd"/>
            <w:r w:rsidRPr="00EA19B1">
              <w:rPr>
                <w:i/>
                <w:sz w:val="22"/>
                <w:szCs w:val="22"/>
                <w:u w:val="single"/>
              </w:rPr>
              <w:t>:</w:t>
            </w:r>
            <w:r w:rsidRPr="003B0CCD">
              <w:rPr>
                <w:i/>
                <w:sz w:val="22"/>
                <w:szCs w:val="22"/>
              </w:rPr>
              <w:t xml:space="preserve">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и др.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3B0CCD">
              <w:rPr>
                <w:b/>
                <w:i/>
                <w:sz w:val="22"/>
                <w:szCs w:val="22"/>
              </w:rPr>
              <w:t>При этом в среднесписочной численности учитываются: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  <w:u w:val="single"/>
              </w:rPr>
            </w:pPr>
            <w:r w:rsidRPr="003B0CCD">
              <w:rPr>
                <w:i/>
                <w:sz w:val="22"/>
                <w:szCs w:val="22"/>
                <w:u w:val="single"/>
              </w:rPr>
              <w:t>как целые единицы: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лица, переведенные на работу в режиме неполного рабочего времени по инициативе нанимателя (без письменного заявления работника);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работники, которым в соответствии с законодательством устанавливается сокращенная продолжительность рабочего времени;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  <w:u w:val="single"/>
              </w:rPr>
              <w:t>как целые единицы по дням явок на работу</w:t>
            </w:r>
            <w:r w:rsidRPr="003B0CCD">
              <w:rPr>
                <w:i/>
                <w:sz w:val="22"/>
                <w:szCs w:val="22"/>
              </w:rPr>
              <w:t xml:space="preserve">: 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</w:rPr>
              <w:t xml:space="preserve"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</w:t>
            </w:r>
            <w:r w:rsidRPr="003B0CCD">
              <w:rPr>
                <w:i/>
                <w:sz w:val="22"/>
                <w:szCs w:val="22"/>
              </w:rPr>
              <w:lastRenderedPageBreak/>
              <w:t>предоставление рабочей силы;</w:t>
            </w:r>
          </w:p>
          <w:p w:rsidR="00DE5FB3" w:rsidRPr="003B0CCD" w:rsidRDefault="00DE5FB3" w:rsidP="00DE5FB3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i/>
                <w:sz w:val="22"/>
                <w:szCs w:val="22"/>
                <w:u w:val="single"/>
              </w:rPr>
              <w:t>пропорционально отработанному времени</w:t>
            </w:r>
            <w:r w:rsidRPr="003B0CCD">
              <w:rPr>
                <w:i/>
                <w:sz w:val="22"/>
                <w:szCs w:val="22"/>
              </w:rPr>
      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      </w:r>
          </w:p>
          <w:p w:rsidR="00DD6ADC" w:rsidRDefault="00DE5FB3" w:rsidP="00DE5FB3">
            <w:pPr>
              <w:pStyle w:val="ConsPlusNormal"/>
              <w:ind w:left="34" w:firstLine="283"/>
              <w:jc w:val="both"/>
              <w:rPr>
                <w:i/>
                <w:sz w:val="22"/>
                <w:szCs w:val="22"/>
              </w:rPr>
            </w:pPr>
            <w:proofErr w:type="spellStart"/>
            <w:r w:rsidRPr="003B0CCD">
              <w:rPr>
                <w:i/>
                <w:sz w:val="22"/>
                <w:szCs w:val="22"/>
                <w:u w:val="single"/>
              </w:rPr>
              <w:t>Справочно</w:t>
            </w:r>
            <w:proofErr w:type="spellEnd"/>
            <w:r w:rsidRPr="003B0CCD">
              <w:rPr>
                <w:i/>
                <w:sz w:val="22"/>
                <w:szCs w:val="22"/>
                <w:u w:val="single"/>
              </w:rPr>
              <w:t>:</w:t>
            </w:r>
            <w:r w:rsidRPr="003B0CCD">
              <w:rPr>
                <w:i/>
                <w:sz w:val="22"/>
                <w:szCs w:val="22"/>
              </w:rPr>
              <w:t xml:space="preserve">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№ 1.</w:t>
            </w:r>
          </w:p>
          <w:p w:rsidR="00C05617" w:rsidRPr="003B0CCD" w:rsidRDefault="00C05617" w:rsidP="00DE5FB3">
            <w:pPr>
              <w:pStyle w:val="ConsPlusNormal"/>
              <w:ind w:left="34" w:firstLine="283"/>
              <w:jc w:val="both"/>
              <w:rPr>
                <w:i/>
                <w:sz w:val="22"/>
                <w:szCs w:val="22"/>
              </w:rPr>
            </w:pPr>
          </w:p>
        </w:tc>
      </w:tr>
      <w:tr w:rsidR="00DC69B6" w:rsidRPr="003B0CCD" w:rsidTr="00A12E93">
        <w:tc>
          <w:tcPr>
            <w:tcW w:w="10881" w:type="dxa"/>
            <w:gridSpan w:val="3"/>
            <w:shd w:val="clear" w:color="auto" w:fill="auto"/>
          </w:tcPr>
          <w:p w:rsidR="00DC69B6" w:rsidRPr="003B0CCD" w:rsidRDefault="004D14D7" w:rsidP="00A12E93">
            <w:pPr>
              <w:pStyle w:val="ConsPlusNormal"/>
              <w:tabs>
                <w:tab w:val="left" w:pos="6804"/>
              </w:tabs>
              <w:ind w:left="34"/>
              <w:jc w:val="both"/>
              <w:rPr>
                <w:iCs/>
                <w:sz w:val="22"/>
                <w:szCs w:val="22"/>
              </w:rPr>
            </w:pPr>
            <w:r w:rsidRPr="003B0CCD">
              <w:rPr>
                <w:rFonts w:eastAsia="Calibri"/>
                <w:b/>
                <w:iCs/>
                <w:sz w:val="22"/>
                <w:szCs w:val="22"/>
                <w:lang w:eastAsia="en-US"/>
              </w:rPr>
              <w:lastRenderedPageBreak/>
              <w:t>Строка 7</w:t>
            </w:r>
            <w:r w:rsidRPr="003B0CCD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 w:rsidRPr="003B0CC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года»</w:t>
            </w:r>
          </w:p>
        </w:tc>
      </w:tr>
      <w:tr w:rsidR="00231B81" w:rsidRPr="003B0CCD" w:rsidTr="00EA19B1">
        <w:tc>
          <w:tcPr>
            <w:tcW w:w="7621" w:type="dxa"/>
            <w:gridSpan w:val="2"/>
            <w:shd w:val="clear" w:color="auto" w:fill="auto"/>
          </w:tcPr>
          <w:p w:rsidR="009E248B" w:rsidRPr="003B0CCD" w:rsidRDefault="00505DE0" w:rsidP="009E24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A19B1" w:rsidRPr="00EA19B1">
              <w:rPr>
                <w:rFonts w:eastAsia="Calibri"/>
                <w:sz w:val="22"/>
                <w:szCs w:val="22"/>
              </w:rPr>
              <w:t xml:space="preserve">   </w:t>
            </w:r>
            <w:r>
              <w:rPr>
                <w:rFonts w:eastAsia="Calibri"/>
                <w:sz w:val="22"/>
                <w:szCs w:val="22"/>
              </w:rPr>
              <w:t xml:space="preserve"> - </w:t>
            </w:r>
            <w:r w:rsidR="009E248B" w:rsidRPr="003B0CCD">
              <w:rPr>
                <w:rFonts w:eastAsia="Calibri"/>
                <w:sz w:val="22"/>
                <w:szCs w:val="22"/>
                <w:lang w:eastAsia="en-US"/>
              </w:rPr>
              <w:t>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в том числе в виде дивидендов и процентов, и (или) установленная по результатам проверок налоговых и иных контролирующих органов, по состоянию на 1 января отчетного года;</w:t>
            </w:r>
          </w:p>
          <w:p w:rsidR="00DC69B6" w:rsidRDefault="00EA19B1" w:rsidP="00692B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9B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9E248B" w:rsidRPr="003B0CCD">
              <w:rPr>
                <w:rFonts w:eastAsia="Calibri"/>
                <w:sz w:val="22"/>
                <w:szCs w:val="22"/>
                <w:lang w:eastAsia="en-US"/>
              </w:rPr>
              <w:t xml:space="preserve">- излишне перечисленная сумма подоходного налога с физических лиц указывается как положительная величина, задолженность - со знаком «минус» </w:t>
            </w:r>
            <w:r w:rsidR="009E248B" w:rsidRPr="003B0CCD">
              <w:rPr>
                <w:rFonts w:eastAsia="Calibri"/>
                <w:i/>
                <w:sz w:val="22"/>
                <w:szCs w:val="22"/>
                <w:lang w:eastAsia="en-US"/>
              </w:rPr>
              <w:t>(часть первая пункта 12 Инструкции № 2)</w:t>
            </w:r>
            <w:r w:rsidR="009E248B" w:rsidRPr="003B0CC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05617" w:rsidRPr="003B0CCD" w:rsidRDefault="00C05617" w:rsidP="00692BA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92BAB" w:rsidRPr="003B0CCD" w:rsidRDefault="00692BAB" w:rsidP="00C93DC3">
            <w:pPr>
              <w:autoSpaceDE w:val="0"/>
              <w:autoSpaceDN w:val="0"/>
              <w:adjustRightInd w:val="0"/>
              <w:ind w:firstLine="312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rFonts w:eastAsia="Calibri"/>
                <w:i/>
                <w:sz w:val="22"/>
                <w:szCs w:val="22"/>
              </w:rPr>
              <w:t xml:space="preserve">Размер данного показателя </w:t>
            </w:r>
            <w:r w:rsidRPr="003B0CCD">
              <w:rPr>
                <w:i/>
                <w:sz w:val="22"/>
                <w:szCs w:val="22"/>
              </w:rPr>
              <w:t xml:space="preserve">должен соответствовать </w:t>
            </w:r>
            <w:hyperlink r:id="rId7" w:history="1">
              <w:r w:rsidRPr="003B0CCD">
                <w:rPr>
                  <w:rFonts w:eastAsia="Calibri"/>
                  <w:i/>
                  <w:sz w:val="22"/>
                  <w:szCs w:val="22"/>
                </w:rPr>
                <w:t>строке 10</w:t>
              </w:r>
            </w:hyperlink>
            <w:r w:rsidRPr="003B0CCD">
              <w:rPr>
                <w:rFonts w:eastAsia="Calibri"/>
                <w:i/>
                <w:sz w:val="22"/>
                <w:szCs w:val="22"/>
              </w:rPr>
              <w:t xml:space="preserve"> части </w:t>
            </w:r>
            <w:r w:rsidRPr="003B0CCD">
              <w:rPr>
                <w:rFonts w:eastAsia="Calibri"/>
                <w:i/>
                <w:sz w:val="22"/>
                <w:szCs w:val="22"/>
                <w:lang w:val="en-US"/>
              </w:rPr>
              <w:t>V</w:t>
            </w:r>
            <w:r w:rsidRPr="003B0CCD">
              <w:rPr>
                <w:rFonts w:eastAsia="Calibri"/>
                <w:i/>
                <w:sz w:val="22"/>
                <w:szCs w:val="22"/>
              </w:rPr>
              <w:t xml:space="preserve"> декларации по налогу на прибыль последнего отчетного периода предыдущего налогового периода (при ее наличии) (пункт 50 Инструкции № 2).</w:t>
            </w:r>
          </w:p>
          <w:p w:rsidR="00DC69B6" w:rsidRPr="003B0CCD" w:rsidRDefault="00DC69B6" w:rsidP="009E248B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</w:p>
        </w:tc>
      </w:tr>
      <w:tr w:rsidR="00DC69B6" w:rsidRPr="003B0CCD" w:rsidTr="00A12E93">
        <w:tc>
          <w:tcPr>
            <w:tcW w:w="10881" w:type="dxa"/>
            <w:gridSpan w:val="3"/>
            <w:shd w:val="clear" w:color="auto" w:fill="auto"/>
          </w:tcPr>
          <w:p w:rsidR="00BB655A" w:rsidRPr="003B0CCD" w:rsidRDefault="00ED15A7" w:rsidP="00BB65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0CCD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Строка 8</w:t>
            </w:r>
            <w:r w:rsidRPr="003B0CCD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 w:rsidRPr="003B0CC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Подоходный налог с физических лиц, исчисленный с доходов, фактически выплаченных в отчетном периоде, в том числе:</w:t>
            </w:r>
            <w:r w:rsidR="00BB655A" w:rsidRPr="003B0CC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 результатам проверок; </w:t>
            </w:r>
          </w:p>
          <w:p w:rsidR="00DC69B6" w:rsidRPr="003B0CCD" w:rsidRDefault="00BB655A" w:rsidP="00BB655A">
            <w:pPr>
              <w:pStyle w:val="ConsPlusNormal"/>
              <w:tabs>
                <w:tab w:val="left" w:pos="680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 соответствии с пунктом 8 статьи 73 Налогового кодекса Республики Беларусь»</w:t>
            </w:r>
          </w:p>
        </w:tc>
      </w:tr>
      <w:tr w:rsidR="003B0CCD" w:rsidRPr="003B0CCD" w:rsidTr="00FC6AC7">
        <w:tc>
          <w:tcPr>
            <w:tcW w:w="10881" w:type="dxa"/>
            <w:gridSpan w:val="3"/>
            <w:shd w:val="clear" w:color="auto" w:fill="auto"/>
          </w:tcPr>
          <w:p w:rsidR="003B0CCD" w:rsidRPr="003B0CCD" w:rsidRDefault="003B0CCD" w:rsidP="00AF08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0CCD">
              <w:rPr>
                <w:rFonts w:eastAsia="Calibri"/>
                <w:sz w:val="22"/>
                <w:szCs w:val="22"/>
              </w:rPr>
              <w:t xml:space="preserve"> </w:t>
            </w:r>
            <w:r w:rsidR="00C05617">
              <w:rPr>
                <w:rFonts w:eastAsia="Calibri"/>
                <w:sz w:val="22"/>
                <w:szCs w:val="22"/>
              </w:rPr>
              <w:t xml:space="preserve">    </w:t>
            </w:r>
            <w:r w:rsidRPr="003B0CCD">
              <w:rPr>
                <w:rFonts w:eastAsia="Calibri"/>
                <w:sz w:val="22"/>
                <w:szCs w:val="22"/>
              </w:rPr>
              <w:t xml:space="preserve">-  </w:t>
            </w:r>
            <w:r w:rsidRPr="003B0CCD">
              <w:rPr>
                <w:rFonts w:eastAsia="Calibri"/>
                <w:sz w:val="22"/>
                <w:szCs w:val="22"/>
                <w:lang w:eastAsia="en-US"/>
              </w:rPr>
              <w:t>строка заполняется нарастающим итогом с начала календарного года;</w:t>
            </w:r>
          </w:p>
          <w:p w:rsidR="003B0CCD" w:rsidRPr="003B0CCD" w:rsidRDefault="00C05617" w:rsidP="00AF08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3B0CCD" w:rsidRPr="003B0CCD">
              <w:rPr>
                <w:rFonts w:eastAsia="Calibri"/>
                <w:sz w:val="22"/>
                <w:szCs w:val="22"/>
                <w:lang w:eastAsia="en-US"/>
              </w:rPr>
              <w:t>- содержит, в том числе сведения о суммах подоходного налога с физических лиц, не удержанных и (или) не перечисленных по результатам проверок налоговых и иных контролирующих органов при вынесении решения по акту проверки в отчетном периоде;</w:t>
            </w:r>
          </w:p>
          <w:p w:rsidR="003B0CCD" w:rsidRPr="003B0CCD" w:rsidRDefault="00C05617" w:rsidP="00AF08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="003B0CCD" w:rsidRPr="003B0CCD">
              <w:rPr>
                <w:rFonts w:eastAsia="Calibri"/>
                <w:sz w:val="22"/>
                <w:szCs w:val="22"/>
                <w:lang w:eastAsia="en-US"/>
              </w:rPr>
              <w:t>- в строке «по результатам проверок» указывается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отчетном периоде</w:t>
            </w:r>
          </w:p>
          <w:p w:rsidR="003B0CCD" w:rsidRDefault="003B0CCD" w:rsidP="00C05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0CCD">
              <w:rPr>
                <w:rFonts w:eastAsia="Calibri"/>
                <w:i/>
                <w:sz w:val="22"/>
                <w:szCs w:val="22"/>
                <w:lang w:eastAsia="en-US"/>
              </w:rPr>
              <w:t>(часть вторая пункта 12 Инструкции № 2)</w:t>
            </w:r>
            <w:r w:rsidRPr="003B0CC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05617" w:rsidRPr="003B0CCD" w:rsidRDefault="00C05617" w:rsidP="00C056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C69B6" w:rsidRPr="003B0CCD" w:rsidTr="00A12E93">
        <w:tc>
          <w:tcPr>
            <w:tcW w:w="10881" w:type="dxa"/>
            <w:gridSpan w:val="3"/>
            <w:shd w:val="clear" w:color="auto" w:fill="auto"/>
          </w:tcPr>
          <w:p w:rsidR="00DC69B6" w:rsidRPr="003B0CCD" w:rsidRDefault="00ED15A7" w:rsidP="00A12E93">
            <w:pPr>
              <w:pStyle w:val="ConsPlusNormal"/>
              <w:tabs>
                <w:tab w:val="left" w:pos="680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3B0CCD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Строка 9</w:t>
            </w:r>
            <w:r w:rsidRPr="003B0CCD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 w:rsidRPr="003B0CC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Подоходный налог с физических лиц, перечисленный в бюджет в отчетном периоде»</w:t>
            </w:r>
          </w:p>
        </w:tc>
      </w:tr>
      <w:tr w:rsidR="003B0CCD" w:rsidRPr="003B0CCD" w:rsidTr="00FC6AC7">
        <w:tc>
          <w:tcPr>
            <w:tcW w:w="10881" w:type="dxa"/>
            <w:gridSpan w:val="3"/>
            <w:shd w:val="clear" w:color="auto" w:fill="auto"/>
          </w:tcPr>
          <w:p w:rsidR="003B0CCD" w:rsidRDefault="003B0CCD" w:rsidP="00C05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0CCD">
              <w:rPr>
                <w:rFonts w:eastAsia="Calibri"/>
                <w:sz w:val="22"/>
                <w:szCs w:val="22"/>
                <w:lang w:eastAsia="en-US"/>
              </w:rPr>
              <w:t xml:space="preserve">- строка заполняется нарастающим итогом с начала календарного года и содержат сведения о суммах подоходного налога с физических лиц, перечисленных в бюджет, в том числе по результатам проверок налоговых и иных контролирующих органов, до последней даты отчетного периода включительно </w:t>
            </w:r>
            <w:r w:rsidRPr="003B0CCD">
              <w:rPr>
                <w:rFonts w:eastAsia="Calibri"/>
                <w:i/>
                <w:sz w:val="22"/>
                <w:szCs w:val="22"/>
                <w:lang w:eastAsia="en-US"/>
              </w:rPr>
              <w:t>(часть третья пункта 12 Инструкции № 2)</w:t>
            </w:r>
            <w:r w:rsidRPr="003B0CC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05617" w:rsidRPr="003B0CCD" w:rsidRDefault="00C05617" w:rsidP="00C0561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ED15A7" w:rsidRPr="003B0CCD" w:rsidTr="00A12E93">
        <w:tc>
          <w:tcPr>
            <w:tcW w:w="10881" w:type="dxa"/>
            <w:gridSpan w:val="3"/>
            <w:shd w:val="clear" w:color="auto" w:fill="auto"/>
          </w:tcPr>
          <w:p w:rsidR="00ED15A7" w:rsidRPr="003B0CCD" w:rsidRDefault="00D17E41" w:rsidP="00A12E93">
            <w:pPr>
              <w:pStyle w:val="ConsPlusNormal"/>
              <w:tabs>
                <w:tab w:val="left" w:pos="6804"/>
              </w:tabs>
              <w:ind w:left="34"/>
              <w:jc w:val="both"/>
              <w:rPr>
                <w:i/>
                <w:sz w:val="22"/>
                <w:szCs w:val="22"/>
              </w:rPr>
            </w:pPr>
            <w:r w:rsidRPr="00D61161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С</w:t>
            </w:r>
            <w:r w:rsidR="00ED15A7" w:rsidRPr="00D61161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трока 10</w:t>
            </w:r>
            <w:r w:rsidR="00ED15A7" w:rsidRPr="00D6116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ED15A7" w:rsidRPr="003B0CCD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ED15A7" w:rsidRPr="003B0CC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периода»</w:t>
            </w:r>
          </w:p>
        </w:tc>
      </w:tr>
      <w:tr w:rsidR="003B0CCD" w:rsidRPr="003B0CCD" w:rsidTr="00FC6AC7">
        <w:tc>
          <w:tcPr>
            <w:tcW w:w="10881" w:type="dxa"/>
            <w:gridSpan w:val="3"/>
            <w:shd w:val="clear" w:color="auto" w:fill="auto"/>
          </w:tcPr>
          <w:p w:rsidR="003B0CCD" w:rsidRPr="003B0CCD" w:rsidRDefault="003B0CCD" w:rsidP="00A739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B0CCD">
              <w:rPr>
                <w:rFonts w:eastAsia="Calibri"/>
                <w:sz w:val="22"/>
                <w:szCs w:val="22"/>
              </w:rPr>
              <w:t xml:space="preserve">- указывается не перечисленная либо излишне перечисленная налоговым агентом сумма подоходного </w:t>
            </w:r>
            <w:hyperlink r:id="rId8" w:history="1">
              <w:r w:rsidRPr="003B0CCD">
                <w:rPr>
                  <w:rFonts w:eastAsia="Calibri"/>
                  <w:sz w:val="22"/>
                  <w:szCs w:val="22"/>
                </w:rPr>
                <w:t>налога</w:t>
              </w:r>
            </w:hyperlink>
            <w:r w:rsidRPr="003B0CCD">
              <w:rPr>
                <w:rFonts w:eastAsia="Calibri"/>
                <w:sz w:val="22"/>
                <w:szCs w:val="22"/>
              </w:rPr>
              <w:t xml:space="preserve"> с физических лиц, удержанная из фактически выплаченных плательщикам доходов, и (или) установленная по результатам проверок налоговых и иных контролирующих органов, по состоянию на последний день отчетного периода;</w:t>
            </w:r>
          </w:p>
          <w:p w:rsidR="003B0CCD" w:rsidRDefault="003B0CCD" w:rsidP="003B0C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B0CCD">
              <w:rPr>
                <w:rFonts w:eastAsia="Calibri"/>
                <w:sz w:val="22"/>
                <w:szCs w:val="22"/>
              </w:rPr>
              <w:t xml:space="preserve"> - излишне перечисленная сумма подоходного налога с физических лиц указывается как положительная величина, задолженность - со знаком «минус»</w:t>
            </w:r>
            <w:r w:rsidRPr="003B0CCD">
              <w:rPr>
                <w:bCs/>
                <w:sz w:val="22"/>
                <w:szCs w:val="22"/>
              </w:rPr>
              <w:t xml:space="preserve"> (</w:t>
            </w:r>
            <w:r w:rsidRPr="003B0CCD">
              <w:rPr>
                <w:bCs/>
                <w:i/>
                <w:sz w:val="22"/>
                <w:szCs w:val="22"/>
              </w:rPr>
              <w:t xml:space="preserve">пункт 12 </w:t>
            </w:r>
            <w:r w:rsidRPr="003B0CCD">
              <w:rPr>
                <w:rFonts w:eastAsia="Calibri"/>
                <w:i/>
                <w:sz w:val="22"/>
                <w:szCs w:val="22"/>
                <w:lang w:eastAsia="en-US"/>
              </w:rPr>
              <w:t>Инструкции № 2)</w:t>
            </w:r>
            <w:r w:rsidRPr="003B0CCD">
              <w:rPr>
                <w:rFonts w:eastAsia="Calibri"/>
                <w:sz w:val="22"/>
                <w:szCs w:val="22"/>
              </w:rPr>
              <w:t>.</w:t>
            </w:r>
          </w:p>
          <w:p w:rsidR="003B0CCD" w:rsidRPr="003B0CCD" w:rsidRDefault="003B0CCD" w:rsidP="003B0C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05617" w:rsidRDefault="00C05617" w:rsidP="003B0CC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3B0CCD" w:rsidRPr="00C05617" w:rsidRDefault="003B0CCD" w:rsidP="003B0CC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3B0CCD">
        <w:rPr>
          <w:rFonts w:eastAsia="Calibri"/>
          <w:b/>
          <w:sz w:val="22"/>
          <w:szCs w:val="22"/>
          <w:lang w:eastAsia="en-US"/>
        </w:rPr>
        <w:t xml:space="preserve">Строки, 5, 6, 7, 8, 9, и 10 </w:t>
      </w:r>
      <w:r w:rsidRPr="003B0CCD">
        <w:rPr>
          <w:rFonts w:eastAsia="Calibri"/>
          <w:b/>
          <w:sz w:val="22"/>
          <w:szCs w:val="22"/>
        </w:rPr>
        <w:t>Части V «Другие сведения»</w:t>
      </w:r>
      <w:r w:rsidRPr="003B0CCD">
        <w:rPr>
          <w:rFonts w:eastAsia="Calibri"/>
          <w:i/>
          <w:sz w:val="22"/>
          <w:szCs w:val="22"/>
        </w:rPr>
        <w:t xml:space="preserve"> </w:t>
      </w:r>
      <w:r w:rsidRPr="003B0CCD">
        <w:rPr>
          <w:rFonts w:eastAsia="Calibri"/>
          <w:b/>
          <w:sz w:val="22"/>
          <w:szCs w:val="22"/>
          <w:lang w:eastAsia="en-US"/>
        </w:rPr>
        <w:t>заполняются организациями</w:t>
      </w:r>
      <w:r w:rsidRPr="003B0CCD">
        <w:rPr>
          <w:rFonts w:eastAsia="Calibri"/>
          <w:sz w:val="22"/>
          <w:szCs w:val="22"/>
          <w:lang w:eastAsia="en-US"/>
        </w:rPr>
        <w:t xml:space="preserve"> в отношении физических лиц, работающих в этих организациях, не включая физических лиц, работающих в филиалах (иных обособленных подразделениях), состоящих на учете в налоговых органах, а также которым в соответствии с законодательством выплачиваются доходы </w:t>
      </w:r>
      <w:r w:rsidRPr="00C05617">
        <w:rPr>
          <w:rFonts w:eastAsia="Calibri"/>
          <w:i/>
          <w:sz w:val="22"/>
          <w:szCs w:val="22"/>
          <w:lang w:eastAsia="en-US"/>
        </w:rPr>
        <w:t>(часть двенадцатая пункта 12 Инструкции   № 2).</w:t>
      </w:r>
    </w:p>
    <w:p w:rsidR="00C05617" w:rsidRDefault="00C05617" w:rsidP="003B0CC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3B0CCD" w:rsidRPr="00C05617" w:rsidRDefault="003B0CCD" w:rsidP="003B0CCD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3B0CCD">
        <w:rPr>
          <w:rFonts w:eastAsia="Calibri"/>
          <w:b/>
          <w:sz w:val="22"/>
          <w:szCs w:val="22"/>
          <w:lang w:eastAsia="en-US"/>
        </w:rPr>
        <w:t xml:space="preserve">Филиалы (иные обособленные подразделения), состоящие на учете в налоговых органах, отражают в строках 5, 6, 7, 8, 9, и 10 </w:t>
      </w:r>
      <w:r w:rsidRPr="003B0CCD">
        <w:rPr>
          <w:rFonts w:eastAsia="Calibri"/>
          <w:b/>
          <w:sz w:val="22"/>
          <w:szCs w:val="22"/>
        </w:rPr>
        <w:t xml:space="preserve">Части V «Другие сведения» </w:t>
      </w:r>
      <w:r w:rsidRPr="003B0CCD">
        <w:rPr>
          <w:rFonts w:eastAsia="Calibri"/>
          <w:b/>
          <w:sz w:val="22"/>
          <w:szCs w:val="22"/>
          <w:lang w:eastAsia="en-US"/>
        </w:rPr>
        <w:t>информацию</w:t>
      </w:r>
      <w:r w:rsidRPr="003B0CCD">
        <w:rPr>
          <w:rFonts w:eastAsia="Calibri"/>
          <w:sz w:val="22"/>
          <w:szCs w:val="22"/>
          <w:lang w:eastAsia="en-US"/>
        </w:rPr>
        <w:t xml:space="preserve"> в отношении физических лиц - работников таких подразделений, лиц, которым в соответствии с законодательством выплачиваются доходы </w:t>
      </w:r>
      <w:r w:rsidRPr="00C05617">
        <w:rPr>
          <w:rFonts w:eastAsia="Calibri"/>
          <w:i/>
          <w:sz w:val="22"/>
          <w:szCs w:val="22"/>
          <w:lang w:eastAsia="en-US"/>
        </w:rPr>
        <w:t>(часть тринадцатая пункта 12 Инструкции № 2).</w:t>
      </w:r>
    </w:p>
    <w:p w:rsidR="004C7E1D" w:rsidRPr="003B0CCD" w:rsidRDefault="00D1117F" w:rsidP="00D1117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4C7E1D" w:rsidRPr="003B0CCD">
        <w:rPr>
          <w:sz w:val="22"/>
          <w:szCs w:val="22"/>
        </w:rPr>
        <w:t>Пресс-центр инспекции</w:t>
      </w:r>
    </w:p>
    <w:p w:rsidR="004C7E1D" w:rsidRPr="003B0CCD" w:rsidRDefault="004C7E1D" w:rsidP="004C7E1D">
      <w:pPr>
        <w:pStyle w:val="a4"/>
        <w:jc w:val="right"/>
        <w:rPr>
          <w:sz w:val="22"/>
          <w:szCs w:val="22"/>
        </w:rPr>
      </w:pPr>
      <w:r w:rsidRPr="003B0CCD">
        <w:rPr>
          <w:sz w:val="22"/>
          <w:szCs w:val="22"/>
        </w:rPr>
        <w:t>МНС Республики Беларусь</w:t>
      </w:r>
    </w:p>
    <w:p w:rsidR="004C7E1D" w:rsidRPr="003B0CCD" w:rsidRDefault="00D1117F" w:rsidP="00D1117F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C7E1D" w:rsidRPr="003B0CCD">
        <w:rPr>
          <w:sz w:val="22"/>
          <w:szCs w:val="22"/>
        </w:rPr>
        <w:t>по Могилевской области</w:t>
      </w:r>
    </w:p>
    <w:sectPr w:rsidR="004C7E1D" w:rsidRPr="003B0CCD" w:rsidSect="0048702A">
      <w:pgSz w:w="11906" w:h="16838" w:code="9"/>
      <w:pgMar w:top="28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D6" w:rsidRDefault="00492CD6" w:rsidP="00D979A5">
      <w:r>
        <w:separator/>
      </w:r>
    </w:p>
  </w:endnote>
  <w:endnote w:type="continuationSeparator" w:id="0">
    <w:p w:rsidR="00492CD6" w:rsidRDefault="00492CD6" w:rsidP="00D9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D6" w:rsidRDefault="00492CD6" w:rsidP="00D979A5">
      <w:r>
        <w:separator/>
      </w:r>
    </w:p>
  </w:footnote>
  <w:footnote w:type="continuationSeparator" w:id="0">
    <w:p w:rsidR="00492CD6" w:rsidRDefault="00492CD6" w:rsidP="00D9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1B"/>
    <w:rsid w:val="00027C7C"/>
    <w:rsid w:val="00034106"/>
    <w:rsid w:val="00057A5F"/>
    <w:rsid w:val="0006592C"/>
    <w:rsid w:val="00077C4B"/>
    <w:rsid w:val="00081476"/>
    <w:rsid w:val="000C7F2D"/>
    <w:rsid w:val="000F16BD"/>
    <w:rsid w:val="000F5CDA"/>
    <w:rsid w:val="000F7EFD"/>
    <w:rsid w:val="00107DF4"/>
    <w:rsid w:val="00151059"/>
    <w:rsid w:val="001A0526"/>
    <w:rsid w:val="00222991"/>
    <w:rsid w:val="00225842"/>
    <w:rsid w:val="00231B81"/>
    <w:rsid w:val="0024582D"/>
    <w:rsid w:val="00246C53"/>
    <w:rsid w:val="00253C0F"/>
    <w:rsid w:val="002902EF"/>
    <w:rsid w:val="00292570"/>
    <w:rsid w:val="003024CB"/>
    <w:rsid w:val="00314BFE"/>
    <w:rsid w:val="00365639"/>
    <w:rsid w:val="0036744D"/>
    <w:rsid w:val="003A443D"/>
    <w:rsid w:val="003B0CCD"/>
    <w:rsid w:val="003D2109"/>
    <w:rsid w:val="003F470E"/>
    <w:rsid w:val="00414FBE"/>
    <w:rsid w:val="00434570"/>
    <w:rsid w:val="0047738F"/>
    <w:rsid w:val="0048702A"/>
    <w:rsid w:val="004913DC"/>
    <w:rsid w:val="00492CD6"/>
    <w:rsid w:val="004B0687"/>
    <w:rsid w:val="004B1B6F"/>
    <w:rsid w:val="004C7E1D"/>
    <w:rsid w:val="004D14D7"/>
    <w:rsid w:val="004F4C27"/>
    <w:rsid w:val="00505DE0"/>
    <w:rsid w:val="00532959"/>
    <w:rsid w:val="005422ED"/>
    <w:rsid w:val="0056756E"/>
    <w:rsid w:val="00582336"/>
    <w:rsid w:val="005B615D"/>
    <w:rsid w:val="005F650C"/>
    <w:rsid w:val="005F7EF0"/>
    <w:rsid w:val="006567B3"/>
    <w:rsid w:val="00664D81"/>
    <w:rsid w:val="0067394E"/>
    <w:rsid w:val="00676FB5"/>
    <w:rsid w:val="00692BAB"/>
    <w:rsid w:val="006A243B"/>
    <w:rsid w:val="006E5DFF"/>
    <w:rsid w:val="006F781D"/>
    <w:rsid w:val="00727DA6"/>
    <w:rsid w:val="0073672A"/>
    <w:rsid w:val="00762F3C"/>
    <w:rsid w:val="007C6697"/>
    <w:rsid w:val="007E5250"/>
    <w:rsid w:val="007F74C7"/>
    <w:rsid w:val="00806CF1"/>
    <w:rsid w:val="00831440"/>
    <w:rsid w:val="00856AA1"/>
    <w:rsid w:val="008B20D5"/>
    <w:rsid w:val="008F4C17"/>
    <w:rsid w:val="00932075"/>
    <w:rsid w:val="00955F51"/>
    <w:rsid w:val="009636C1"/>
    <w:rsid w:val="009767BF"/>
    <w:rsid w:val="00997E2D"/>
    <w:rsid w:val="009B2402"/>
    <w:rsid w:val="009D0F5D"/>
    <w:rsid w:val="009D6374"/>
    <w:rsid w:val="009E248B"/>
    <w:rsid w:val="009E2DD4"/>
    <w:rsid w:val="00A00922"/>
    <w:rsid w:val="00A06295"/>
    <w:rsid w:val="00A11F8D"/>
    <w:rsid w:val="00A12E93"/>
    <w:rsid w:val="00A20616"/>
    <w:rsid w:val="00A34004"/>
    <w:rsid w:val="00A6094D"/>
    <w:rsid w:val="00A739DB"/>
    <w:rsid w:val="00A80287"/>
    <w:rsid w:val="00AF08B5"/>
    <w:rsid w:val="00AF7573"/>
    <w:rsid w:val="00B234E8"/>
    <w:rsid w:val="00B62BD6"/>
    <w:rsid w:val="00B714D2"/>
    <w:rsid w:val="00BB655A"/>
    <w:rsid w:val="00BD57A0"/>
    <w:rsid w:val="00C05617"/>
    <w:rsid w:val="00C124A1"/>
    <w:rsid w:val="00C24998"/>
    <w:rsid w:val="00C303B1"/>
    <w:rsid w:val="00C3685B"/>
    <w:rsid w:val="00C40A19"/>
    <w:rsid w:val="00C664F7"/>
    <w:rsid w:val="00C81F7B"/>
    <w:rsid w:val="00C93DC3"/>
    <w:rsid w:val="00CB0DB6"/>
    <w:rsid w:val="00CB2246"/>
    <w:rsid w:val="00D05D00"/>
    <w:rsid w:val="00D1117F"/>
    <w:rsid w:val="00D13E04"/>
    <w:rsid w:val="00D17E41"/>
    <w:rsid w:val="00D3388A"/>
    <w:rsid w:val="00D56D39"/>
    <w:rsid w:val="00D61161"/>
    <w:rsid w:val="00D92970"/>
    <w:rsid w:val="00D92D11"/>
    <w:rsid w:val="00D92DF3"/>
    <w:rsid w:val="00D9401E"/>
    <w:rsid w:val="00D979A5"/>
    <w:rsid w:val="00DB1B66"/>
    <w:rsid w:val="00DB2DBD"/>
    <w:rsid w:val="00DC69B6"/>
    <w:rsid w:val="00DD2FB7"/>
    <w:rsid w:val="00DD6ADC"/>
    <w:rsid w:val="00DE5FB3"/>
    <w:rsid w:val="00E06EBF"/>
    <w:rsid w:val="00E303B7"/>
    <w:rsid w:val="00E6278D"/>
    <w:rsid w:val="00EA19B1"/>
    <w:rsid w:val="00ED15A7"/>
    <w:rsid w:val="00F11450"/>
    <w:rsid w:val="00F402CC"/>
    <w:rsid w:val="00F5103D"/>
    <w:rsid w:val="00F737F5"/>
    <w:rsid w:val="00F9331B"/>
    <w:rsid w:val="00FC6AC7"/>
    <w:rsid w:val="00FD0457"/>
    <w:rsid w:val="00F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A6AF2CEED70404C8E073B15D3783C7600C40C90D3D619E329D6AB5063AF6E6DCBE76B62AEAE94CC73A84C8A35BDF0B0483B6EF7D55BEECBCA405D97x1F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6956BCF537A8A96964B1E5631C3C003F5A9C8723BF5A095656054E926553353D466D1E69405E5D7EB5BDF27B76DAABB27C02D5DBA1C118FCDD3ABFEbDm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E269-D334-4F0D-9E35-FD2A5FF9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17228</CharactersWithSpaces>
  <SharedDoc>false</SharedDoc>
  <HLinks>
    <vt:vector size="12" baseType="variant"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consultantplus://offline/ref=B46A6AF2CEED70404C8E073B15D3783C7600C40C90D3D619E329D6AB5063AF6E6DCBE76B62AEAE94CC73A84C8A35BDF0B0483B6EF7D55BEECBCA405D97x1F8G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consultantplus://offline/ref=6576956BCF537A8A96964B1E5631C3C003F5A9C8723BF5A095656054E926553353D466D1E69405E5D7EB5BDF27B76DAABB27C02D5DBA1C118FCDD3ABFEbDm7F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2021-05-28T08:28:00Z</cp:lastPrinted>
  <dcterms:created xsi:type="dcterms:W3CDTF">2021-06-16T06:36:00Z</dcterms:created>
  <dcterms:modified xsi:type="dcterms:W3CDTF">2021-06-16T06:36:00Z</dcterms:modified>
</cp:coreProperties>
</file>